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E7CC" w14:textId="77777777" w:rsidR="00327B4F" w:rsidRPr="00677834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374D8E" w14:paraId="49AB69BA" w14:textId="77777777" w:rsidTr="00A411D1">
        <w:tc>
          <w:tcPr>
            <w:tcW w:w="3261" w:type="dxa"/>
          </w:tcPr>
          <w:p w14:paraId="5DA06760" w14:textId="704FB85A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3B984F2F" w14:textId="53B60639" w:rsidR="008D73AD" w:rsidRPr="00677834" w:rsidRDefault="00DF1FF6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Е</w:t>
            </w:r>
            <w:r w:rsidRPr="00DF1FF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ксперт з аналізу даних</w:t>
            </w:r>
            <w:r w:rsidR="008D73AD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  <w:p w14:paraId="6DAAB9EB" w14:textId="0EFE3019" w:rsidR="00A411D1" w:rsidRPr="00677834" w:rsidRDefault="00374D8E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«Зміцнення потенціалу в області оцінки і заставлення даних про дітей» (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Strengthening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evaluation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capacity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and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data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mapping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children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</w:tr>
      <w:tr w:rsidR="00327B4F" w:rsidRPr="000A6C36" w14:paraId="0574B4A9" w14:textId="77777777" w:rsidTr="00A411D1">
        <w:tc>
          <w:tcPr>
            <w:tcW w:w="3261" w:type="dxa"/>
          </w:tcPr>
          <w:p w14:paraId="5003DA10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57085B33" w:rsidR="00327B4F" w:rsidRPr="00677834" w:rsidRDefault="000A6711" w:rsidP="00EF654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Надання консультаційної підтримки протягом періоду розробки </w:t>
            </w:r>
            <w:r w:rsidR="00A411D1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звіту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, </w:t>
            </w:r>
            <w:r w:rsidR="0019496D" w:rsidRPr="0019496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Перегляд </w:t>
            </w:r>
            <w:r w:rsidR="0019496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державної</w:t>
            </w:r>
            <w:r w:rsidR="0019496D" w:rsidRPr="0019496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19496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системи</w:t>
            </w:r>
            <w:r w:rsidR="0019496D" w:rsidRPr="0019496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для збору даних, пов'язаних з дітьми, та пояснення ролей та обов'язків усіх залучених установ, процедур та шаблонів звітності</w:t>
            </w:r>
            <w:r w:rsidR="00DA1D09"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r w:rsidR="00F21E4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0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робочих дн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ів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.</w:t>
            </w:r>
          </w:p>
        </w:tc>
      </w:tr>
      <w:tr w:rsidR="00327B4F" w:rsidRPr="00677834" w14:paraId="3578CFA4" w14:textId="77777777" w:rsidTr="00A411D1">
        <w:tc>
          <w:tcPr>
            <w:tcW w:w="3261" w:type="dxa"/>
          </w:tcPr>
          <w:p w14:paraId="69436FE3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7F73B5C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м. Київ, 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Україна</w:t>
            </w:r>
          </w:p>
        </w:tc>
      </w:tr>
      <w:tr w:rsidR="00327B4F" w:rsidRPr="00677834" w14:paraId="08972C57" w14:textId="77777777" w:rsidTr="00A411D1">
        <w:tc>
          <w:tcPr>
            <w:tcW w:w="3261" w:type="dxa"/>
          </w:tcPr>
          <w:p w14:paraId="76C2878A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61D890E1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Липень 2021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677834" w14:paraId="130CE789" w14:textId="77777777" w:rsidTr="00A411D1">
        <w:tc>
          <w:tcPr>
            <w:tcW w:w="3261" w:type="dxa"/>
          </w:tcPr>
          <w:p w14:paraId="2A8CB21D" w14:textId="5504D829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4110467E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Січень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BE2F2B" w14:paraId="57571CAC" w14:textId="77777777" w:rsidTr="00A411D1">
        <w:tc>
          <w:tcPr>
            <w:tcW w:w="3261" w:type="dxa"/>
          </w:tcPr>
          <w:p w14:paraId="711B1E26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677834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829BFD9" w14:textId="64B1AE7D" w:rsidR="00677834" w:rsidRPr="00677834" w:rsidRDefault="00677834" w:rsidP="00677834">
      <w:pPr>
        <w:pStyle w:val="af4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ПРЕАМБУЛА </w:t>
      </w:r>
    </w:p>
    <w:p w14:paraId="3A28A6D3" w14:textId="26AB8C0D" w:rsidR="00D76DB3" w:rsidRPr="00677834" w:rsidRDefault="00D76DB3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bookmarkStart w:id="0" w:name="_Hlk79054834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Оцінки мають вирішальне значення для підтримки прийняття рішень на основі фактичних даних на всіх рівнях. Вони слугують інструментом, який допомагає зацікавленим сторонам порівняти початкові та передбачувані результати будь-якої програми чи втручання та прийняти майбутні рішення щодо коригування програм або розробки нової політики із надійною доказовою базою. Оцінки відіграють вирішальну роль і в оцінці національного прогресу щодо дітей. Як інструмент для створення доказів, оцінки допомагають ключовим зацікавленим сторонам навколо дитини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,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зрозуміти поточний прогрес та вузькі місця щодо реалізації прав дитини в країні. В даний час оцінка як підхід не є невід'ємною частиною процесів планування та моніторингу національної політики в Україні. Розвиток потенціалу щодо оцінки та включення принципів та підходів до оцінки у національне законодавство та урядові нормативні документи є важливими для підтримання практики оцінювання на національному рівні.</w:t>
      </w:r>
    </w:p>
    <w:p w14:paraId="4494B88E" w14:textId="77777777" w:rsidR="00D76DB3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Методологія оцінки, як і будь-який інший тип засобів доказування, базується на даних, оскільки якість оцінки залежить від наявності та якості даних. Щоб підтримати повну реалізацію прав дітей в Україні та допомогти ключовим зацікавленим сторонам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імплементувати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Конвенцію про права дитини, ЮНІСЕФ сприяє збору та аналізу даних про дітей як основний крок підходу до оцінювання,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адвокації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та прийняття рішень. Як вихідний пункт для нарощування потенціалу оцінки, важливо зрозуміти, які дані про дітей збираються в даний час як на національному, так і на місцевому рівнях, а також які процедури та правила збору даних про дітей в Україні.</w:t>
      </w:r>
    </w:p>
    <w:p w14:paraId="748C2F77" w14:textId="05624560" w:rsidR="00594C69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Враховуючи вищевикладене, ЮНІСЕФ вступає у невелике партнерство з неурядовою організацією «Український центр соціальних реформ» (УЦСР), що охоплює такі напрямки: розбудова спроможності щодо оцінок та картографування даних про дітей в Україні. УЦСР підтримуватиме активну участь експертної групи Інституту демографії та соціальних досліджень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ім. М.В. </w:t>
      </w:r>
      <w:proofErr w:type="spellStart"/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Птухи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(IDSS) 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Національної 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Академії наук України протягом усього процесу впровадження. Така тристороння взаємодія між ЮНІСЕФ, USCR та IDSS сприятиме підтримці та збільшенню результатів.</w:t>
      </w:r>
      <w:r w:rsidR="00C20A26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  <w:r w:rsidR="0092509E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4105CC69" w14:textId="7AFBEC91" w:rsidR="00594C69" w:rsidRPr="00677834" w:rsidRDefault="00594C69" w:rsidP="00374D8E">
      <w:pPr>
        <w:pStyle w:val="3"/>
        <w:numPr>
          <w:ilvl w:val="0"/>
          <w:numId w:val="3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1CE4980B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Програма сприятиме впровадженню Документу про національну програму ЮНІСЕФ на період 2018-2022 рр., Зокрема її результату 6: за правами дітей в Україні здійснюється ефективний моніторинг та встановлюються чіткі механізми підзвітності через систему моніторингу прав дитини.</w:t>
      </w:r>
    </w:p>
    <w:p w14:paraId="08A9900D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A96100B" w14:textId="0A6B3DF5" w:rsidR="00865717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lastRenderedPageBreak/>
        <w:t xml:space="preserve">Програма також сприятиме партнерству ЮНІСЕФ з науковими колами, державними установами національного рівня, включаючи Державну службу статистики України,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субнаціональні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органи влади та організації громадянського суспільства, в об'єднанні їх навколо розвитку більш ефективної системи моніторингу прав дитини в країні</w:t>
      </w:r>
      <w:r w:rsidR="00741A13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bookmarkEnd w:id="0"/>
    </w:p>
    <w:p w14:paraId="3B072BCA" w14:textId="3FF77149" w:rsidR="00594C69" w:rsidRPr="00677834" w:rsidRDefault="00374D8E" w:rsidP="00374D8E">
      <w:pPr>
        <w:pStyle w:val="3"/>
        <w:ind w:left="360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Fonts w:asciiTheme="minorHAnsi" w:hAnsiTheme="minorHAnsi" w:cstheme="minorHAnsi"/>
          <w:sz w:val="24"/>
          <w:szCs w:val="24"/>
          <w:lang w:val="ru-RU"/>
        </w:rPr>
        <w:t>3</w:t>
      </w:r>
      <w:r>
        <w:rPr>
          <w:rFonts w:asciiTheme="minorHAnsi" w:hAnsiTheme="minorHAnsi" w:cstheme="minorHAnsi"/>
          <w:sz w:val="24"/>
          <w:szCs w:val="24"/>
          <w:lang w:val="ru-RU"/>
        </w:rPr>
        <w:t>. 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>ОБСЯГ РОБІТ ТА ОЧІКУВАНІ РЕЗУЛЬТАТИ</w:t>
      </w:r>
    </w:p>
    <w:p w14:paraId="1D27BBD4" w14:textId="04DBBC90" w:rsidR="00594C69" w:rsidRPr="00677834" w:rsidRDefault="00594C69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Під керівництвом Координатора програм </w:t>
      </w:r>
      <w:r w:rsidR="009F4542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УЦСР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та в координації з командою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Виконавець має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здійсн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ювати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наступні види робіт</w:t>
      </w:r>
      <w:r w:rsidR="0016312D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(Послуги)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:</w:t>
      </w:r>
    </w:p>
    <w:p w14:paraId="0C0BCFD2" w14:textId="3F196B86" w:rsidR="00115401" w:rsidRPr="00677834" w:rsidRDefault="00115401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576E47B0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Обсяг програми охоплює наступні дві сфери втручання:</w:t>
      </w:r>
    </w:p>
    <w:p w14:paraId="3CC11197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1) Оцінка потенціалу</w:t>
      </w:r>
    </w:p>
    <w:p w14:paraId="1F6BE8F4" w14:textId="55CCA1D9" w:rsidR="00891A4D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2) Картування існуючих даних про дітей на національному та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субнаціональному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рівнях та в обстеженнях домогосподарств щодо всіх прав дитини та сприяння аналізу вразливості</w:t>
      </w:r>
      <w:r w:rsidR="00891A4D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</w:p>
    <w:p w14:paraId="1030420D" w14:textId="5967C1FC" w:rsidR="00891A4D" w:rsidRPr="00677834" w:rsidRDefault="00891A4D" w:rsidP="00891A4D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4C3EF751" w14:textId="3DF1FAFA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Здатність проводити оцінки є ключовою для національних установ, оскільки вимірювання прогресу політичних рішень та програм за допомогою оцінок дає вагоме </w:t>
      </w:r>
      <w:r w:rsidR="00BE2F2B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обґрунтування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того, чи досягнуті результати та чи потрібно вносити корективи в політичні документи та рішення. Оцінки лежать в основі принципів прийняття рішень, заснованих на фактичних даних, і є надійним інструментом для програмування на основі результатів та прийняття політики. ЮНІСЕФ організує тренінг з оцінки для співробітників IDSS, UCSR та інших установ. Буде проведено огляд чинної нормативно-правової бази щодо планування, моніторингу та реалізації політики, яка дасть рекомендації щодо внесення змін до політики та законодавчої бази з метою включення оцінки як одного з ключових підходів до отримання доказів.</w:t>
      </w:r>
    </w:p>
    <w:p w14:paraId="26A2BAAA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Діяльності:</w:t>
      </w:r>
    </w:p>
    <w:p w14:paraId="0A42E757" w14:textId="5FB776A3" w:rsidR="00DA1D09" w:rsidRDefault="000A6C36" w:rsidP="00DA1D09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A6C36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 </w:t>
      </w:r>
      <w:r w:rsidR="00DA1D09" w:rsidRPr="00DA1D09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Звіт про картографування даних, що охоплює перелік показників, ролей та відповідальності, інструменти звітності </w:t>
      </w:r>
    </w:p>
    <w:p w14:paraId="1C4F2A60" w14:textId="103B1EEC" w:rsidR="00F21E4A" w:rsidRDefault="00F21E4A" w:rsidP="00F21E4A">
      <w:pPr>
        <w:tabs>
          <w:tab w:val="left" w:pos="142"/>
        </w:tabs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F21E4A">
        <w:rPr>
          <w:rFonts w:asciiTheme="minorHAnsi" w:eastAsia="Calibri" w:hAnsiTheme="minorHAnsi" w:cstheme="minorHAnsi"/>
          <w:sz w:val="24"/>
          <w:szCs w:val="24"/>
          <w:lang w:val="uk-UA"/>
        </w:rPr>
        <w:t>-</w:t>
      </w:r>
      <w:r w:rsidRPr="00F21E4A">
        <w:rPr>
          <w:rFonts w:asciiTheme="minorHAnsi" w:eastAsia="Calibri" w:hAnsiTheme="minorHAnsi" w:cstheme="minorHAnsi"/>
          <w:sz w:val="24"/>
          <w:szCs w:val="24"/>
          <w:lang w:val="uk-UA"/>
        </w:rPr>
        <w:tab/>
        <w:t>Звіт про показники, пов'язані з CRAVE</w:t>
      </w:r>
    </w:p>
    <w:p w14:paraId="701D41AE" w14:textId="77777777" w:rsidR="00F21E4A" w:rsidRDefault="00F21E4A" w:rsidP="00DA1D09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289D3CB" w14:textId="77777777" w:rsidR="00DA1D09" w:rsidRPr="0049215A" w:rsidRDefault="00DA1D09" w:rsidP="00DA1D09">
      <w:pPr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  <w:lang w:val="ru-RU"/>
        </w:rPr>
      </w:pPr>
    </w:p>
    <w:p w14:paraId="0CAD9343" w14:textId="43B1AEC0" w:rsidR="00167099" w:rsidRPr="00677834" w:rsidRDefault="00175DB7" w:rsidP="00DA1D09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</w:pPr>
      <w:r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О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рієнтовний графік виконання робіт</w:t>
      </w:r>
      <w:r w:rsidR="00D00F95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 xml:space="preserve"> та результати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237"/>
        <w:gridCol w:w="2822"/>
      </w:tblGrid>
      <w:tr w:rsidR="00171F18" w:rsidRPr="00677834" w14:paraId="2FDC766F" w14:textId="77777777" w:rsidTr="00171F18">
        <w:trPr>
          <w:trHeight w:val="149"/>
        </w:trPr>
        <w:tc>
          <w:tcPr>
            <w:tcW w:w="562" w:type="dxa"/>
          </w:tcPr>
          <w:p w14:paraId="07AB323B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79F71DB2" w14:textId="088594D4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Опис робіт/Результати</w:t>
            </w:r>
          </w:p>
        </w:tc>
        <w:tc>
          <w:tcPr>
            <w:tcW w:w="2822" w:type="dxa"/>
          </w:tcPr>
          <w:p w14:paraId="183B23E3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 xml:space="preserve">Графік </w:t>
            </w:r>
          </w:p>
        </w:tc>
      </w:tr>
      <w:tr w:rsidR="0019496D" w:rsidRPr="00677834" w14:paraId="6961F959" w14:textId="77777777" w:rsidTr="00171F18">
        <w:trPr>
          <w:trHeight w:val="341"/>
        </w:trPr>
        <w:tc>
          <w:tcPr>
            <w:tcW w:w="562" w:type="dxa"/>
          </w:tcPr>
          <w:p w14:paraId="5B242203" w14:textId="22D7A458" w:rsidR="0019496D" w:rsidRPr="00677834" w:rsidRDefault="0019496D" w:rsidP="0019496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6237" w:type="dxa"/>
          </w:tcPr>
          <w:p w14:paraId="361FF22A" w14:textId="6951CB03" w:rsidR="0019496D" w:rsidRPr="00677834" w:rsidRDefault="0019496D" w:rsidP="001949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Розробка таблиці для опису даних (індикатор, джерело, метадані, частота тощо)</w:t>
            </w:r>
          </w:p>
        </w:tc>
        <w:tc>
          <w:tcPr>
            <w:tcW w:w="2822" w:type="dxa"/>
          </w:tcPr>
          <w:p w14:paraId="029A0296" w14:textId="1191C7E8" w:rsidR="0019496D" w:rsidRPr="00677834" w:rsidRDefault="0019496D" w:rsidP="001949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листопада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 р.</w:t>
            </w:r>
          </w:p>
        </w:tc>
      </w:tr>
      <w:tr w:rsidR="0019496D" w:rsidRPr="00677834" w14:paraId="3453AAC9" w14:textId="77777777" w:rsidTr="00171F18">
        <w:trPr>
          <w:trHeight w:val="341"/>
        </w:trPr>
        <w:tc>
          <w:tcPr>
            <w:tcW w:w="562" w:type="dxa"/>
          </w:tcPr>
          <w:p w14:paraId="7BDD255C" w14:textId="45C8792B" w:rsidR="0019496D" w:rsidRPr="00677834" w:rsidRDefault="0019496D" w:rsidP="0019496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6237" w:type="dxa"/>
          </w:tcPr>
          <w:p w14:paraId="6EA7C8C3" w14:textId="74E832A7" w:rsidR="0019496D" w:rsidRPr="00677834" w:rsidRDefault="0019496D" w:rsidP="001949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Картування доступних підходів до збору та компіляції даних, що стосуються дітей, на національному, галузевому та </w:t>
            </w:r>
            <w:proofErr w:type="spellStart"/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субнаціональному</w:t>
            </w:r>
            <w:proofErr w:type="spellEnd"/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рівнях, зосереджуючи увагу як на зборі адміністративних даних, так і на опитуваннях домогосподарств</w:t>
            </w:r>
          </w:p>
        </w:tc>
        <w:tc>
          <w:tcPr>
            <w:tcW w:w="2822" w:type="dxa"/>
          </w:tcPr>
          <w:p w14:paraId="35CDD43B" w14:textId="0713A069" w:rsidR="0019496D" w:rsidRPr="00677834" w:rsidRDefault="0019496D" w:rsidP="001949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листопада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 р.</w:t>
            </w:r>
          </w:p>
        </w:tc>
      </w:tr>
      <w:tr w:rsidR="0019496D" w:rsidRPr="0019496D" w14:paraId="64DBF218" w14:textId="77777777" w:rsidTr="00171F18">
        <w:trPr>
          <w:trHeight w:val="341"/>
        </w:trPr>
        <w:tc>
          <w:tcPr>
            <w:tcW w:w="562" w:type="dxa"/>
          </w:tcPr>
          <w:p w14:paraId="006B78DB" w14:textId="090807EC" w:rsidR="0019496D" w:rsidRPr="00677834" w:rsidRDefault="0019496D" w:rsidP="0019496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6237" w:type="dxa"/>
          </w:tcPr>
          <w:p w14:paraId="36082786" w14:textId="0AEC1886" w:rsidR="0019496D" w:rsidRPr="00F21E4A" w:rsidRDefault="0019496D" w:rsidP="001949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Представлення переліку існуючих показників, пов’язаних з дітьми, які зараз використовуються для збору даних та звітування, опис джерел даних та застосовуваних рівнів </w:t>
            </w:r>
            <w:proofErr w:type="spellStart"/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дезагрегації</w:t>
            </w:r>
            <w:proofErr w:type="spellEnd"/>
          </w:p>
        </w:tc>
        <w:tc>
          <w:tcPr>
            <w:tcW w:w="2822" w:type="dxa"/>
          </w:tcPr>
          <w:p w14:paraId="71E121D6" w14:textId="687CAD01" w:rsidR="0019496D" w:rsidRPr="00677834" w:rsidRDefault="0019496D" w:rsidP="001949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376EA1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07 січня 2021 р. </w:t>
            </w:r>
          </w:p>
        </w:tc>
      </w:tr>
      <w:tr w:rsidR="0019496D" w:rsidRPr="0019496D" w14:paraId="5730862C" w14:textId="77777777" w:rsidTr="00171F18">
        <w:trPr>
          <w:trHeight w:val="341"/>
        </w:trPr>
        <w:tc>
          <w:tcPr>
            <w:tcW w:w="562" w:type="dxa"/>
          </w:tcPr>
          <w:p w14:paraId="17F49B9D" w14:textId="1424AB80" w:rsidR="0019496D" w:rsidRPr="00677834" w:rsidRDefault="0019496D" w:rsidP="0019496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6237" w:type="dxa"/>
          </w:tcPr>
          <w:p w14:paraId="1E0292CE" w14:textId="1E758DCB" w:rsidR="0019496D" w:rsidRPr="00F21E4A" w:rsidRDefault="0019496D" w:rsidP="001949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Аналіз існуючих показників щодо дитячої </w:t>
            </w:r>
            <w:proofErr w:type="spellStart"/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депривації</w:t>
            </w:r>
            <w:proofErr w:type="spellEnd"/>
            <w:r w:rsidRPr="0019496D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відповідно до методології CRAVE</w:t>
            </w:r>
          </w:p>
        </w:tc>
        <w:tc>
          <w:tcPr>
            <w:tcW w:w="2822" w:type="dxa"/>
          </w:tcPr>
          <w:p w14:paraId="63C6A839" w14:textId="1205F155" w:rsidR="0019496D" w:rsidRPr="00677834" w:rsidRDefault="0019496D" w:rsidP="001949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376EA1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07 січня 2021 р. </w:t>
            </w:r>
          </w:p>
        </w:tc>
      </w:tr>
    </w:tbl>
    <w:p w14:paraId="5A831B7B" w14:textId="03A5552C" w:rsidR="00FC2A85" w:rsidRPr="00677834" w:rsidRDefault="00374D8E" w:rsidP="00374D8E">
      <w:pPr>
        <w:pStyle w:val="3"/>
        <w:ind w:left="360"/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>
        <w:rPr>
          <w:rFonts w:asciiTheme="minorHAnsi" w:hAnsiTheme="minorHAnsi" w:cstheme="minorHAnsi"/>
          <w:bCs w:val="0"/>
          <w:sz w:val="24"/>
          <w:szCs w:val="24"/>
          <w:lang w:val="uk-UA"/>
        </w:rPr>
        <w:t>4. </w:t>
      </w:r>
      <w:r w:rsidR="00740B59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</w:t>
      </w:r>
      <w:r w:rsidR="00FC2A85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:</w:t>
      </w:r>
    </w:p>
    <w:p w14:paraId="651A79C7" w14:textId="77777777" w:rsidR="00374D8E" w:rsidRDefault="00374D8E" w:rsidP="00374D8E">
      <w:pPr>
        <w:spacing w:after="60"/>
        <w:ind w:left="851" w:hanging="425"/>
        <w:jc w:val="both"/>
        <w:rPr>
          <w:rStyle w:val="tlid-translation"/>
          <w:rFonts w:asciiTheme="minorHAnsi" w:hAnsiTheme="minorHAnsi" w:cstheme="minorHAnsi"/>
          <w:sz w:val="24"/>
          <w:szCs w:val="24"/>
          <w:lang w:val="uk-UA"/>
        </w:rPr>
      </w:pPr>
      <w:r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4.1</w:t>
      </w: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</w:t>
      </w:r>
      <w:r>
        <w:rPr>
          <w:rStyle w:val="tlid-translation"/>
          <w:rFonts w:asciiTheme="minorHAnsi" w:hAnsiTheme="minorHAnsi" w:cstheme="minorHAnsi"/>
          <w:sz w:val="24"/>
          <w:szCs w:val="24"/>
        </w:rPr>
        <w:t> 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</w:t>
      </w:r>
      <w:r w:rsidR="006A23BC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/послуг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 в їх ціновій пропозиції.</w:t>
      </w:r>
    </w:p>
    <w:p w14:paraId="35629344" w14:textId="32C8F8ED" w:rsidR="00F0583A" w:rsidRPr="00677834" w:rsidRDefault="00374D8E" w:rsidP="00B820B1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lastRenderedPageBreak/>
        <w:t>4</w:t>
      </w:r>
      <w:r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.2. 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FC2A85" w:rsidRPr="00677834">
        <w:rPr>
          <w:rFonts w:asciiTheme="minorHAnsi" w:hAnsiTheme="minorHAnsi" w:cstheme="minorHAnsi"/>
          <w:sz w:val="24"/>
          <w:szCs w:val="24"/>
          <w:lang w:val="uk-UA"/>
        </w:rPr>
        <w:t>латеж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і буть проводитись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за умови досяг</w:t>
      </w:r>
      <w:r w:rsidR="009F4542" w:rsidRPr="00677834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ення </w:t>
      </w:r>
      <w:r w:rsidR="00740B5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та погодження </w:t>
      </w:r>
      <w:r w:rsidR="002B37D5" w:rsidRPr="00677834">
        <w:rPr>
          <w:rFonts w:asciiTheme="minorHAnsi" w:hAnsiTheme="minorHAnsi" w:cstheme="minorHAnsi"/>
          <w:sz w:val="24"/>
          <w:szCs w:val="24"/>
          <w:lang w:val="uk-UA"/>
        </w:rPr>
        <w:t>УЦСР</w:t>
      </w:r>
      <w:r w:rsidR="00740B5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відповідних результатів 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наступним чином</w:t>
      </w:r>
      <w:r w:rsidR="00B820B1">
        <w:rPr>
          <w:rFonts w:asciiTheme="minorHAnsi" w:hAnsiTheme="minorHAnsi" w:cstheme="minorHAnsi"/>
          <w:sz w:val="24"/>
          <w:szCs w:val="24"/>
          <w:lang w:val="uk-UA"/>
        </w:rPr>
        <w:t>: з</w:t>
      </w:r>
      <w:r w:rsidR="002A368B">
        <w:rPr>
          <w:rFonts w:asciiTheme="minorHAnsi" w:hAnsiTheme="minorHAnsi" w:cstheme="minorHAnsi"/>
          <w:sz w:val="24"/>
          <w:szCs w:val="24"/>
          <w:lang w:val="uk-UA"/>
        </w:rPr>
        <w:t>а кількість витрачених робочих днів для досягнення результат</w:t>
      </w:r>
      <w:r w:rsidR="00B820B1">
        <w:rPr>
          <w:rFonts w:asciiTheme="minorHAnsi" w:hAnsiTheme="minorHAnsi" w:cstheme="minorHAnsi"/>
          <w:sz w:val="24"/>
          <w:szCs w:val="24"/>
          <w:lang w:val="uk-UA"/>
        </w:rPr>
        <w:t>ів за кожним етапом</w:t>
      </w:r>
      <w:r w:rsidR="00F0583A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49CEEAC2" w14:textId="20E7C48B" w:rsidR="00740B59" w:rsidRPr="00677834" w:rsidRDefault="00374D8E" w:rsidP="00374D8E">
      <w:pPr>
        <w:pStyle w:val="3"/>
        <w:ind w:left="36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Cs w:val="0"/>
          <w:sz w:val="24"/>
          <w:szCs w:val="24"/>
          <w:lang w:val="uk-UA"/>
        </w:rPr>
        <w:t>5. </w:t>
      </w:r>
      <w:r w:rsidR="00594C69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ВИМОГИ ЩОДО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</w:t>
      </w:r>
      <w:r w:rsidR="00EE5054" w:rsidRPr="00677834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9B141EE" w14:textId="73716C90" w:rsidR="00740B5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5.1. 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Виконавець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повинен надати звіт</w:t>
      </w:r>
      <w:r w:rsidR="00A6701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виконані роботи 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Координатору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 електронному вигляді (формати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pdf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залежно від потреби)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 </w:t>
      </w:r>
      <w:r w:rsidR="00587ED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07</w:t>
      </w:r>
      <w:r w:rsidR="00C901BC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січня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20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</w:t>
      </w:r>
      <w:r w:rsidR="002A368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2 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 Мова звіт</w:t>
      </w:r>
      <w:r w:rsidR="00EE5054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— українська.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23816D5E" w14:textId="6B63CD8D" w:rsidR="00594C6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5.2. 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здійсненні запланованих заходів, </w:t>
      </w:r>
      <w:r w:rsidR="00F558D1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або 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появі будь-яких факторів, що впливають на якість та строки виконання робіт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вжити негайних заходів щодо 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повідомлення Координатора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із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зазначен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ням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причин та запропонован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их 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ріше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нь. </w:t>
      </w:r>
    </w:p>
    <w:p w14:paraId="48351357" w14:textId="77777777" w:rsidR="00FC2A85" w:rsidRPr="00677834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677834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sz w:val="24"/>
          <w:szCs w:val="24"/>
          <w:lang w:val="uk-UA"/>
        </w:rPr>
        <w:t>КВАЛІФІКАЦІЯ ВИКОНАВЦЯ</w:t>
      </w:r>
      <w:r w:rsidR="00B60083" w:rsidRPr="00677834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47A6A3BA" w14:textId="0507EB60" w:rsidR="003B3FC4" w:rsidRPr="00F21E4A" w:rsidRDefault="00F21E4A" w:rsidP="00F21E4A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F21E4A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Магістр 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за н</w:t>
      </w:r>
      <w:r w:rsidRPr="00F21E4A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апрям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ом</w:t>
      </w:r>
      <w:r w:rsidRPr="00F21E4A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підготовки: </w:t>
      </w:r>
      <w:r w:rsidR="00DF1FF6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управління персоналом та економіка праці</w:t>
      </w:r>
      <w:r w:rsidR="003B3FC4" w:rsidRPr="00F21E4A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04DB33CE" w14:textId="135E0216" w:rsidR="004E18C9" w:rsidRDefault="003B3FC4" w:rsidP="00F21E4A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</w:t>
      </w:r>
      <w:r w:rsidR="00D95E57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освід у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часті у</w:t>
      </w:r>
      <w:r w:rsidR="00D95E57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розробці статистичних </w:t>
      </w:r>
      <w:proofErr w:type="spellStart"/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методик</w:t>
      </w:r>
      <w:proofErr w:type="spellEnd"/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які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затверджен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органами державної влади</w:t>
      </w:r>
      <w:r w:rsidR="00D95E57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0B676B70" w14:textId="6DA13944" w:rsidR="004E18C9" w:rsidRDefault="00D95E57" w:rsidP="00F21E4A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DF1FF6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рок</w:t>
      </w:r>
      <w:r w:rsidR="00F21E4A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досвіду роботи зі статистичними даними та аналіз</w:t>
      </w:r>
      <w:r w:rsidR="003B3FC4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ом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4DB1A3AC" w14:textId="77777777" w:rsidR="004E18C9" w:rsidRDefault="00D95E57" w:rsidP="00F21E4A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Досвід роботи або співробітництва з органами державної влади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Державним комітетом статистики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міжнародними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організаціями буде розглядатись у якості переваги.</w:t>
      </w:r>
    </w:p>
    <w:p w14:paraId="09950DB6" w14:textId="77777777" w:rsidR="004E18C9" w:rsidRDefault="00D95E57" w:rsidP="0001247B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Вільне володіння українською мовою. Знання англійської мови розглядається у якості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6ED2F97F" w14:textId="1C49D574" w:rsidR="00177869" w:rsidRPr="004E18C9" w:rsidRDefault="00D95E57" w:rsidP="00703380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 має свідчити про здатність виконання робіт за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цим завданням.</w:t>
      </w:r>
    </w:p>
    <w:p w14:paraId="646A256C" w14:textId="77777777" w:rsidR="008B346D" w:rsidRPr="00677834" w:rsidRDefault="008B346D" w:rsidP="008B346D">
      <w:pPr>
        <w:pStyle w:val="af4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D63D024" w14:textId="77777777" w:rsidR="00740B59" w:rsidRPr="00677834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79442B7D" w:rsidR="00E92B04" w:rsidRPr="00677834" w:rsidRDefault="00A16E17" w:rsidP="00740B59">
      <w:pPr>
        <w:pStyle w:val="af4"/>
        <w:numPr>
          <w:ilvl w:val="1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свідчить про спроможність якісного  виконання робіт</w:t>
      </w:r>
      <w:r w:rsidR="00E92B04" w:rsidRPr="006778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677834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BE2F2B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677834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677834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677834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677834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</w:pPr>
      <w:r w:rsidRPr="00677834"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  <w:br w:type="textWrapping" w:clear="all"/>
      </w:r>
    </w:p>
    <w:sectPr w:rsidR="00261159" w:rsidRPr="00677834" w:rsidSect="000A24A7">
      <w:footerReference w:type="default" r:id="rId11"/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5FBA" w14:textId="77777777" w:rsidR="006A0AC2" w:rsidRDefault="006A0AC2" w:rsidP="00A24134">
      <w:r>
        <w:separator/>
      </w:r>
    </w:p>
  </w:endnote>
  <w:endnote w:type="continuationSeparator" w:id="0">
    <w:p w14:paraId="0BA8D02E" w14:textId="77777777" w:rsidR="006A0AC2" w:rsidRDefault="006A0AC2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DD90" w14:textId="77777777" w:rsidR="006A0AC2" w:rsidRDefault="006A0AC2" w:rsidP="00A24134">
      <w:r>
        <w:separator/>
      </w:r>
    </w:p>
  </w:footnote>
  <w:footnote w:type="continuationSeparator" w:id="0">
    <w:p w14:paraId="0DF240E4" w14:textId="77777777" w:rsidR="006A0AC2" w:rsidRDefault="006A0AC2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64B"/>
    <w:multiLevelType w:val="hybridMultilevel"/>
    <w:tmpl w:val="93361248"/>
    <w:lvl w:ilvl="0" w:tplc="119610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6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56"/>
    <w:multiLevelType w:val="hybridMultilevel"/>
    <w:tmpl w:val="D9901CD8"/>
    <w:lvl w:ilvl="0" w:tplc="69F2E76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2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052"/>
    <w:multiLevelType w:val="hybridMultilevel"/>
    <w:tmpl w:val="3026B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24"/>
  </w:num>
  <w:num w:numId="6">
    <w:abstractNumId w:val="16"/>
  </w:num>
  <w:num w:numId="7">
    <w:abstractNumId w:val="2"/>
  </w:num>
  <w:num w:numId="8">
    <w:abstractNumId w:val="0"/>
  </w:num>
  <w:num w:numId="9">
    <w:abstractNumId w:val="29"/>
  </w:num>
  <w:num w:numId="10">
    <w:abstractNumId w:val="23"/>
  </w:num>
  <w:num w:numId="11">
    <w:abstractNumId w:val="7"/>
  </w:num>
  <w:num w:numId="12">
    <w:abstractNumId w:val="27"/>
  </w:num>
  <w:num w:numId="13">
    <w:abstractNumId w:val="25"/>
  </w:num>
  <w:num w:numId="14">
    <w:abstractNumId w:val="26"/>
  </w:num>
  <w:num w:numId="15">
    <w:abstractNumId w:val="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1"/>
  </w:num>
  <w:num w:numId="21">
    <w:abstractNumId w:val="21"/>
  </w:num>
  <w:num w:numId="22">
    <w:abstractNumId w:val="9"/>
  </w:num>
  <w:num w:numId="23">
    <w:abstractNumId w:val="18"/>
  </w:num>
  <w:num w:numId="24">
    <w:abstractNumId w:val="4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3"/>
  </w:num>
  <w:num w:numId="3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86FCB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F82"/>
    <w:rsid w:val="000A6711"/>
    <w:rsid w:val="000A6C36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496D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034"/>
    <w:rsid w:val="002223E0"/>
    <w:rsid w:val="00222FF7"/>
    <w:rsid w:val="00223AAA"/>
    <w:rsid w:val="002240D6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368B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458F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4D8E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A4833"/>
    <w:rsid w:val="003A6868"/>
    <w:rsid w:val="003A7D09"/>
    <w:rsid w:val="003B0C3C"/>
    <w:rsid w:val="003B0D33"/>
    <w:rsid w:val="003B2D76"/>
    <w:rsid w:val="003B2E8E"/>
    <w:rsid w:val="003B3FC4"/>
    <w:rsid w:val="003B604B"/>
    <w:rsid w:val="003B6089"/>
    <w:rsid w:val="003C0306"/>
    <w:rsid w:val="003C0954"/>
    <w:rsid w:val="003C174E"/>
    <w:rsid w:val="003C377C"/>
    <w:rsid w:val="003C461E"/>
    <w:rsid w:val="003C48C3"/>
    <w:rsid w:val="003C4EEB"/>
    <w:rsid w:val="003D3140"/>
    <w:rsid w:val="003D36BD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A92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15A"/>
    <w:rsid w:val="00492EB0"/>
    <w:rsid w:val="0049303C"/>
    <w:rsid w:val="00496211"/>
    <w:rsid w:val="00497E15"/>
    <w:rsid w:val="004A0FD7"/>
    <w:rsid w:val="004A20DB"/>
    <w:rsid w:val="004A2B79"/>
    <w:rsid w:val="004A3FB8"/>
    <w:rsid w:val="004A7EE5"/>
    <w:rsid w:val="004B3FD1"/>
    <w:rsid w:val="004B3FFF"/>
    <w:rsid w:val="004B42B0"/>
    <w:rsid w:val="004B4EDC"/>
    <w:rsid w:val="004B50B4"/>
    <w:rsid w:val="004B7975"/>
    <w:rsid w:val="004C0280"/>
    <w:rsid w:val="004C0C34"/>
    <w:rsid w:val="004C10B7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8C9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EDD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1D84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42AA"/>
    <w:rsid w:val="00677834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C2"/>
    <w:rsid w:val="006A0F1B"/>
    <w:rsid w:val="006A0F7C"/>
    <w:rsid w:val="006A23BC"/>
    <w:rsid w:val="006A383D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7205C"/>
    <w:rsid w:val="00773DD5"/>
    <w:rsid w:val="0077471B"/>
    <w:rsid w:val="00774EA8"/>
    <w:rsid w:val="00777D58"/>
    <w:rsid w:val="00781367"/>
    <w:rsid w:val="0078159C"/>
    <w:rsid w:val="007824C8"/>
    <w:rsid w:val="007847BE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5F2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2780"/>
    <w:rsid w:val="00882F5B"/>
    <w:rsid w:val="00883615"/>
    <w:rsid w:val="0088513A"/>
    <w:rsid w:val="008867F0"/>
    <w:rsid w:val="008901FA"/>
    <w:rsid w:val="00891A4D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34C5"/>
    <w:rsid w:val="008C3B4B"/>
    <w:rsid w:val="008C65C6"/>
    <w:rsid w:val="008D001C"/>
    <w:rsid w:val="008D13B5"/>
    <w:rsid w:val="008D1440"/>
    <w:rsid w:val="008D1DB8"/>
    <w:rsid w:val="008D49C0"/>
    <w:rsid w:val="008D54F8"/>
    <w:rsid w:val="008D73AD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36DE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0F47"/>
    <w:rsid w:val="00A411D1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0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2F2B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976"/>
    <w:rsid w:val="00C17258"/>
    <w:rsid w:val="00C173E2"/>
    <w:rsid w:val="00C2094C"/>
    <w:rsid w:val="00C20A26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320B"/>
    <w:rsid w:val="00C45FF8"/>
    <w:rsid w:val="00C4699F"/>
    <w:rsid w:val="00C522C3"/>
    <w:rsid w:val="00C52ABD"/>
    <w:rsid w:val="00C543BA"/>
    <w:rsid w:val="00C54627"/>
    <w:rsid w:val="00C5551A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B7D48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B97"/>
    <w:rsid w:val="00CE3916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72EF4"/>
    <w:rsid w:val="00D76DB3"/>
    <w:rsid w:val="00D81841"/>
    <w:rsid w:val="00D82E9D"/>
    <w:rsid w:val="00D831F4"/>
    <w:rsid w:val="00D83A3A"/>
    <w:rsid w:val="00D846EA"/>
    <w:rsid w:val="00D8524A"/>
    <w:rsid w:val="00D86759"/>
    <w:rsid w:val="00D86B66"/>
    <w:rsid w:val="00D90EEB"/>
    <w:rsid w:val="00D935AB"/>
    <w:rsid w:val="00D94EB9"/>
    <w:rsid w:val="00D95E57"/>
    <w:rsid w:val="00DA0DEE"/>
    <w:rsid w:val="00DA0E70"/>
    <w:rsid w:val="00DA1D09"/>
    <w:rsid w:val="00DA2703"/>
    <w:rsid w:val="00DA35E2"/>
    <w:rsid w:val="00DA3691"/>
    <w:rsid w:val="00DA5D94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0E8D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1FF6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1E4A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7C86"/>
    <w:rsid w:val="00F50592"/>
    <w:rsid w:val="00F54B29"/>
    <w:rsid w:val="00F5540A"/>
    <w:rsid w:val="00F558D1"/>
    <w:rsid w:val="00F57BD8"/>
    <w:rsid w:val="00F610F9"/>
    <w:rsid w:val="00F623FE"/>
    <w:rsid w:val="00F634B0"/>
    <w:rsid w:val="00F6456B"/>
    <w:rsid w:val="00F6716E"/>
    <w:rsid w:val="00F70EF9"/>
    <w:rsid w:val="00F741A1"/>
    <w:rsid w:val="00F75E7C"/>
    <w:rsid w:val="00F76695"/>
    <w:rsid w:val="00F81402"/>
    <w:rsid w:val="00F83425"/>
    <w:rsid w:val="00F84147"/>
    <w:rsid w:val="00F8493B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A7C37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ечания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ечания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286A7-5B57-413C-B159-E4BD57FFF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ucsr2012@ukr.net</cp:lastModifiedBy>
  <cp:revision>3</cp:revision>
  <cp:lastPrinted>2019-09-12T13:31:00Z</cp:lastPrinted>
  <dcterms:created xsi:type="dcterms:W3CDTF">2021-08-05T11:31:00Z</dcterms:created>
  <dcterms:modified xsi:type="dcterms:W3CDTF">2021-08-05T11:46:00Z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